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F2C" w:rsidRDefault="00BF4F2C" w:rsidP="00BF4F2C">
      <w:pPr>
        <w:spacing w:before="50" w:after="100" w:line="240" w:lineRule="auto"/>
        <w:outlineLvl w:val="0"/>
        <w:rPr>
          <w:rFonts w:ascii="Arial" w:eastAsia="Times New Roman" w:hAnsi="Arial" w:cs="Arial"/>
          <w:color w:val="0071BC"/>
          <w:kern w:val="36"/>
          <w:sz w:val="21"/>
          <w:szCs w:val="21"/>
        </w:rPr>
      </w:pPr>
      <w:r>
        <w:rPr>
          <w:noProof/>
        </w:rPr>
        <w:drawing>
          <wp:inline distT="0" distB="0" distL="0" distR="0">
            <wp:extent cx="1943100" cy="1266825"/>
            <wp:effectExtent l="0" t="0" r="0" b="0"/>
            <wp:docPr id="8" name="Рисунок 8" descr="https://www.gazcom74.ru/bitrix/templates/ru_new1/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azcom74.ru/bitrix/templates/ru_new1/images/logo.png"/>
                    <pic:cNvPicPr>
                      <a:picLocks noChangeAspect="1" noChangeArrowheads="1"/>
                    </pic:cNvPicPr>
                  </pic:nvPicPr>
                  <pic:blipFill>
                    <a:blip r:embed="rId6"/>
                    <a:srcRect/>
                    <a:stretch>
                      <a:fillRect/>
                    </a:stretch>
                  </pic:blipFill>
                  <pic:spPr bwMode="auto">
                    <a:xfrm>
                      <a:off x="0" y="0"/>
                      <a:ext cx="1943100" cy="1266825"/>
                    </a:xfrm>
                    <a:prstGeom prst="rect">
                      <a:avLst/>
                    </a:prstGeom>
                    <a:noFill/>
                    <a:ln w="9525">
                      <a:noFill/>
                      <a:miter lim="800000"/>
                      <a:headEnd/>
                      <a:tailEnd/>
                    </a:ln>
                  </pic:spPr>
                </pic:pic>
              </a:graphicData>
            </a:graphic>
          </wp:inline>
        </w:drawing>
      </w:r>
    </w:p>
    <w:p w:rsidR="00BF4F2C" w:rsidRPr="00BF4F2C" w:rsidRDefault="00BF4F2C" w:rsidP="00BF4F2C">
      <w:pPr>
        <w:spacing w:before="50" w:after="100" w:line="240" w:lineRule="auto"/>
        <w:outlineLvl w:val="0"/>
        <w:rPr>
          <w:rFonts w:ascii="Arial" w:eastAsia="Times New Roman" w:hAnsi="Arial" w:cs="Arial"/>
          <w:color w:val="0071BC"/>
          <w:kern w:val="36"/>
          <w:sz w:val="21"/>
          <w:szCs w:val="21"/>
        </w:rPr>
      </w:pPr>
      <w:r>
        <w:rPr>
          <w:rFonts w:ascii="Arial" w:eastAsia="Times New Roman" w:hAnsi="Arial" w:cs="Arial"/>
          <w:color w:val="0071BC"/>
          <w:kern w:val="36"/>
          <w:sz w:val="21"/>
          <w:szCs w:val="21"/>
        </w:rPr>
        <w:br w:type="textWrapping" w:clear="all"/>
      </w:r>
      <w:r w:rsidRPr="00BF4F2C">
        <w:rPr>
          <w:rFonts w:ascii="Arial" w:eastAsia="Times New Roman" w:hAnsi="Arial" w:cs="Arial"/>
          <w:color w:val="0071BC"/>
          <w:kern w:val="36"/>
          <w:sz w:val="21"/>
          <w:szCs w:val="21"/>
        </w:rPr>
        <w:t>«Единое окно»</w:t>
      </w:r>
    </w:p>
    <w:tbl>
      <w:tblPr>
        <w:tblW w:w="5000" w:type="pct"/>
        <w:tblCellSpacing w:w="0" w:type="dxa"/>
        <w:tblCellMar>
          <w:left w:w="0" w:type="dxa"/>
          <w:right w:w="0" w:type="dxa"/>
        </w:tblCellMar>
        <w:tblLook w:val="04A0" w:firstRow="1" w:lastRow="0" w:firstColumn="1" w:lastColumn="0" w:noHBand="0" w:noVBand="1"/>
      </w:tblPr>
      <w:tblGrid>
        <w:gridCol w:w="9355"/>
      </w:tblGrid>
      <w:tr w:rsidR="00BF4F2C" w:rsidRPr="00BF4F2C" w:rsidTr="002535C7">
        <w:trPr>
          <w:tblCellSpacing w:w="0" w:type="dxa"/>
        </w:trPr>
        <w:tc>
          <w:tcPr>
            <w:tcW w:w="9355" w:type="dxa"/>
            <w:tcMar>
              <w:top w:w="0" w:type="dxa"/>
              <w:left w:w="0" w:type="dxa"/>
              <w:bottom w:w="350" w:type="dxa"/>
              <w:right w:w="0" w:type="dxa"/>
            </w:tcMar>
            <w:hideMark/>
          </w:tcPr>
          <w:p w:rsidR="00BF4F2C" w:rsidRPr="00BF4F2C" w:rsidRDefault="002535C7" w:rsidP="002535C7">
            <w:pPr>
              <w:spacing w:after="240" w:line="240" w:lineRule="auto"/>
              <w:jc w:val="both"/>
              <w:rPr>
                <w:rFonts w:ascii="PT Astra Serif" w:eastAsia="Times New Roman" w:hAnsi="PT Astra Serif" w:cs="Arial"/>
                <w:color w:val="000000" w:themeColor="text1"/>
                <w:sz w:val="16"/>
                <w:szCs w:val="16"/>
              </w:rPr>
            </w:pPr>
            <w:r w:rsidRPr="002535C7">
              <w:rPr>
                <w:rFonts w:ascii="PT Astra Serif" w:eastAsia="Times New Roman" w:hAnsi="PT Astra Serif" w:cs="Arial"/>
                <w:color w:val="000000" w:themeColor="text1"/>
                <w:sz w:val="16"/>
                <w:szCs w:val="16"/>
              </w:rPr>
              <w:t xml:space="preserve"> </w:t>
            </w:r>
            <w:r w:rsidR="00BF4F2C" w:rsidRPr="00BF4F2C">
              <w:rPr>
                <w:rFonts w:ascii="PT Astra Serif" w:eastAsia="Times New Roman" w:hAnsi="PT Astra Serif" w:cs="Arial"/>
                <w:color w:val="000000" w:themeColor="text1"/>
                <w:sz w:val="16"/>
                <w:szCs w:val="16"/>
              </w:rPr>
              <w:t>На базе большинства филиалов АО «Газпром газораспределение Челябинск» сегодня активно функционируют службы «Единое окно».</w:t>
            </w:r>
            <w:r w:rsidR="00BF4F2C" w:rsidRPr="00BF4F2C">
              <w:rPr>
                <w:rFonts w:ascii="PT Astra Serif" w:eastAsia="Times New Roman" w:hAnsi="PT Astra Serif" w:cs="Arial"/>
                <w:color w:val="000000" w:themeColor="text1"/>
                <w:sz w:val="16"/>
                <w:szCs w:val="16"/>
              </w:rPr>
              <w:br/>
            </w:r>
            <w:bookmarkStart w:id="0" w:name="_GoBack"/>
            <w:r w:rsidR="00BF4F2C" w:rsidRPr="00BF4F2C">
              <w:rPr>
                <w:rFonts w:ascii="PT Astra Serif" w:eastAsia="Times New Roman" w:hAnsi="PT Astra Serif" w:cs="Arial"/>
                <w:color w:val="000000" w:themeColor="text1"/>
                <w:sz w:val="16"/>
                <w:szCs w:val="16"/>
              </w:rPr>
              <w:t>«Единое окно»</w:t>
            </w:r>
            <w:bookmarkEnd w:id="0"/>
            <w:r w:rsidR="00BF4F2C" w:rsidRPr="00BF4F2C">
              <w:rPr>
                <w:rFonts w:ascii="PT Astra Serif" w:eastAsia="Times New Roman" w:hAnsi="PT Astra Serif" w:cs="Arial"/>
                <w:color w:val="000000" w:themeColor="text1"/>
                <w:sz w:val="16"/>
                <w:szCs w:val="16"/>
              </w:rPr>
              <w:t xml:space="preserve"> необходимо для упрощения работы с потребителями, которым не нужно самостоятельно разбираться в многочисленных вопросах о подключении газового оборудования или газификации своего дома.</w:t>
            </w:r>
          </w:p>
          <w:p w:rsidR="00BF4F2C" w:rsidRPr="00BF4F2C" w:rsidRDefault="00BF4F2C" w:rsidP="00BF4F2C">
            <w:pPr>
              <w:spacing w:after="0" w:line="240" w:lineRule="auto"/>
              <w:jc w:val="center"/>
              <w:rPr>
                <w:rFonts w:ascii="Arial" w:eastAsia="Times New Roman" w:hAnsi="Arial" w:cs="Arial"/>
                <w:color w:val="666666"/>
                <w:sz w:val="14"/>
                <w:szCs w:val="14"/>
              </w:rPr>
            </w:pPr>
            <w:r>
              <w:rPr>
                <w:rFonts w:ascii="Arial" w:eastAsia="Times New Roman" w:hAnsi="Arial" w:cs="Arial"/>
                <w:noProof/>
                <w:color w:val="666666"/>
                <w:sz w:val="14"/>
                <w:szCs w:val="14"/>
              </w:rPr>
              <w:drawing>
                <wp:inline distT="0" distB="0" distL="0" distR="0">
                  <wp:extent cx="5842000" cy="1631950"/>
                  <wp:effectExtent l="19050" t="0" r="6350" b="0"/>
                  <wp:docPr id="1" name="Рисунок 1" descr="https://www.gazcom74.ru/Gazcom_new/slid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zcom74.ru/Gazcom_new/slide_4.jpg"/>
                          <pic:cNvPicPr>
                            <a:picLocks noChangeAspect="1" noChangeArrowheads="1"/>
                          </pic:cNvPicPr>
                        </pic:nvPicPr>
                        <pic:blipFill>
                          <a:blip r:embed="rId7"/>
                          <a:srcRect/>
                          <a:stretch>
                            <a:fillRect/>
                          </a:stretch>
                        </pic:blipFill>
                        <pic:spPr bwMode="auto">
                          <a:xfrm>
                            <a:off x="0" y="0"/>
                            <a:ext cx="5847388" cy="1633455"/>
                          </a:xfrm>
                          <a:prstGeom prst="rect">
                            <a:avLst/>
                          </a:prstGeom>
                          <a:noFill/>
                          <a:ln w="9525">
                            <a:noFill/>
                            <a:miter lim="800000"/>
                            <a:headEnd/>
                            <a:tailEnd/>
                          </a:ln>
                        </pic:spPr>
                      </pic:pic>
                    </a:graphicData>
                  </a:graphic>
                </wp:inline>
              </w:drawing>
            </w:r>
          </w:p>
          <w:p w:rsidR="00BF4F2C" w:rsidRDefault="00BF4F2C" w:rsidP="00BF4F2C">
            <w:pPr>
              <w:spacing w:after="0" w:line="240" w:lineRule="auto"/>
              <w:rPr>
                <w:rFonts w:ascii="PT Astra Serif" w:eastAsia="Times New Roman" w:hAnsi="PT Astra Serif" w:cs="Arial"/>
                <w:b/>
                <w:bCs/>
                <w:color w:val="000000" w:themeColor="text1"/>
                <w:sz w:val="16"/>
                <w:szCs w:val="16"/>
              </w:rPr>
            </w:pPr>
            <w:r w:rsidRPr="00BF4F2C">
              <w:rPr>
                <w:rFonts w:ascii="Arial" w:eastAsia="Times New Roman" w:hAnsi="Arial" w:cs="Arial"/>
                <w:color w:val="666666"/>
                <w:sz w:val="14"/>
                <w:szCs w:val="14"/>
              </w:rPr>
              <w:br/>
            </w:r>
            <w:r w:rsidRPr="00BF4F2C">
              <w:rPr>
                <w:rFonts w:ascii="PT Astra Serif" w:eastAsia="Times New Roman" w:hAnsi="PT Astra Serif" w:cs="Arial"/>
                <w:color w:val="000000" w:themeColor="text1"/>
                <w:sz w:val="16"/>
                <w:szCs w:val="16"/>
              </w:rPr>
              <w:t>Цель создания службы – сокращение времени абонента на хождение по кабинетам. Если человек обращается в «Единое окно», он контактирует только с одним специалистом, который решает его вопросы с другими работниками организации.</w:t>
            </w:r>
            <w:r w:rsidRPr="00BF4F2C">
              <w:rPr>
                <w:rFonts w:ascii="PT Astra Serif" w:eastAsia="Times New Roman" w:hAnsi="PT Astra Serif" w:cs="Arial"/>
                <w:color w:val="000000" w:themeColor="text1"/>
                <w:sz w:val="16"/>
                <w:szCs w:val="16"/>
              </w:rPr>
              <w:br/>
            </w:r>
            <w:r w:rsidRPr="00BF4F2C">
              <w:rPr>
                <w:rFonts w:ascii="PT Astra Serif" w:eastAsia="Times New Roman" w:hAnsi="PT Astra Serif" w:cs="Arial"/>
                <w:color w:val="000000" w:themeColor="text1"/>
                <w:sz w:val="16"/>
                <w:szCs w:val="16"/>
              </w:rPr>
              <w:br/>
              <w:t>В «Едином окне» газовых служб АО «Газпром газораспределение Челябинск» потребители могут уточнить график работы филиала, заключить договор на техническое обслуживание внутриквартирного газового оборудования, узнать перечень оказываемых услуг, оставить заявку на их выполнение.</w:t>
            </w:r>
            <w:r w:rsidRPr="00BF4F2C">
              <w:rPr>
                <w:rFonts w:ascii="PT Astra Serif" w:eastAsia="Times New Roman" w:hAnsi="PT Astra Serif" w:cs="Arial"/>
                <w:color w:val="000000" w:themeColor="text1"/>
                <w:sz w:val="16"/>
                <w:szCs w:val="16"/>
              </w:rPr>
              <w:br/>
            </w:r>
            <w:r w:rsidRPr="00BF4F2C">
              <w:rPr>
                <w:rFonts w:ascii="PT Astra Serif" w:eastAsia="Times New Roman" w:hAnsi="PT Astra Serif" w:cs="Arial"/>
                <w:color w:val="000000" w:themeColor="text1"/>
                <w:sz w:val="16"/>
                <w:szCs w:val="16"/>
              </w:rPr>
              <w:br/>
            </w:r>
            <w:r w:rsidRPr="00BF4F2C">
              <w:rPr>
                <w:rFonts w:ascii="PT Astra Serif" w:eastAsia="Times New Roman" w:hAnsi="PT Astra Serif" w:cs="Arial"/>
                <w:b/>
                <w:bCs/>
                <w:color w:val="000000" w:themeColor="text1"/>
                <w:sz w:val="16"/>
                <w:szCs w:val="16"/>
              </w:rPr>
              <w:t>Перечень оказываемых АО «Газпром газораспределение Челябинск» услуг, работ</w:t>
            </w:r>
          </w:p>
          <w:p w:rsidR="008F095C" w:rsidRPr="00BF4F2C" w:rsidRDefault="008F095C" w:rsidP="00BF4F2C">
            <w:pPr>
              <w:spacing w:after="0" w:line="240" w:lineRule="auto"/>
              <w:rPr>
                <w:rFonts w:ascii="Arial" w:eastAsia="Times New Roman" w:hAnsi="Arial" w:cs="Arial"/>
                <w:color w:val="666666"/>
                <w:sz w:val="14"/>
                <w:szCs w:val="14"/>
              </w:rPr>
            </w:pPr>
          </w:p>
          <w:p w:rsidR="00BF4F2C" w:rsidRPr="00BF4F2C" w:rsidRDefault="00BF4F2C" w:rsidP="008F095C">
            <w:pPr>
              <w:spacing w:after="0" w:line="288" w:lineRule="auto"/>
              <w:rPr>
                <w:rFonts w:ascii="PT Astra Serif" w:eastAsia="Times New Roman" w:hAnsi="PT Astra Serif" w:cs="Arial"/>
                <w:color w:val="000000" w:themeColor="text1"/>
                <w:sz w:val="16"/>
                <w:szCs w:val="16"/>
              </w:rPr>
            </w:pPr>
            <w:r w:rsidRPr="00BF4F2C">
              <w:rPr>
                <w:rFonts w:ascii="PT Astra Serif" w:eastAsia="Times New Roman" w:hAnsi="PT Astra Serif" w:cs="Arial"/>
                <w:color w:val="000000" w:themeColor="text1"/>
                <w:sz w:val="16"/>
                <w:szCs w:val="16"/>
              </w:rPr>
              <w:t>1. Выполнение расчета планируемого максимального часового расхода газа.</w:t>
            </w:r>
            <w:r w:rsidRPr="00BF4F2C">
              <w:rPr>
                <w:rFonts w:ascii="PT Astra Serif" w:eastAsia="Times New Roman" w:hAnsi="PT Astra Serif" w:cs="Arial"/>
                <w:color w:val="000000" w:themeColor="text1"/>
                <w:sz w:val="16"/>
                <w:szCs w:val="16"/>
              </w:rPr>
              <w:br/>
              <w:t>2. Предоставление технических условий на подключение.</w:t>
            </w:r>
            <w:r w:rsidRPr="00BF4F2C">
              <w:rPr>
                <w:rFonts w:ascii="PT Astra Serif" w:eastAsia="Times New Roman" w:hAnsi="PT Astra Serif" w:cs="Arial"/>
                <w:color w:val="000000" w:themeColor="text1"/>
                <w:sz w:val="16"/>
                <w:szCs w:val="16"/>
              </w:rPr>
              <w:br/>
              <w:t>3. Заключение Договора о технологическом присоединении.</w:t>
            </w:r>
            <w:r w:rsidRPr="00BF4F2C">
              <w:rPr>
                <w:rFonts w:ascii="PT Astra Serif" w:eastAsia="Times New Roman" w:hAnsi="PT Astra Serif" w:cs="Arial"/>
                <w:color w:val="000000" w:themeColor="text1"/>
                <w:sz w:val="16"/>
                <w:szCs w:val="16"/>
              </w:rPr>
              <w:br/>
              <w:t>4. Заключение Договора на техническое обслуживание и ремонт внутридомового и (или) внутриквартирного газового оборудования, объектов системы газоснабжения.</w:t>
            </w:r>
            <w:r w:rsidRPr="00BF4F2C">
              <w:rPr>
                <w:rFonts w:ascii="PT Astra Serif" w:eastAsia="Times New Roman" w:hAnsi="PT Astra Serif" w:cs="Arial"/>
                <w:color w:val="000000" w:themeColor="text1"/>
                <w:sz w:val="16"/>
                <w:szCs w:val="16"/>
              </w:rPr>
              <w:br/>
              <w:t>5. Разработка проектно-сметной документации.</w:t>
            </w:r>
            <w:r w:rsidRPr="00BF4F2C">
              <w:rPr>
                <w:rFonts w:ascii="PT Astra Serif" w:eastAsia="Times New Roman" w:hAnsi="PT Astra Serif" w:cs="Arial"/>
                <w:color w:val="000000" w:themeColor="text1"/>
                <w:sz w:val="16"/>
                <w:szCs w:val="16"/>
              </w:rPr>
              <w:br/>
              <w:t>6. Осуществление авторского надзора.</w:t>
            </w:r>
            <w:r w:rsidRPr="00BF4F2C">
              <w:rPr>
                <w:rFonts w:ascii="PT Astra Serif" w:eastAsia="Times New Roman" w:hAnsi="PT Astra Serif" w:cs="Arial"/>
                <w:color w:val="000000" w:themeColor="text1"/>
                <w:sz w:val="16"/>
                <w:szCs w:val="16"/>
              </w:rPr>
              <w:br/>
              <w:t>7. Выполнение строительно-монтажных работ.</w:t>
            </w:r>
            <w:r w:rsidRPr="00BF4F2C">
              <w:rPr>
                <w:rFonts w:ascii="PT Astra Serif" w:eastAsia="Times New Roman" w:hAnsi="PT Astra Serif" w:cs="Arial"/>
                <w:color w:val="000000" w:themeColor="text1"/>
                <w:sz w:val="16"/>
                <w:szCs w:val="16"/>
              </w:rPr>
              <w:br/>
              <w:t>8. Осуществление строительного контроля.</w:t>
            </w:r>
            <w:r w:rsidRPr="00BF4F2C">
              <w:rPr>
                <w:rFonts w:ascii="PT Astra Serif" w:eastAsia="Times New Roman" w:hAnsi="PT Astra Serif" w:cs="Arial"/>
                <w:color w:val="000000" w:themeColor="text1"/>
                <w:sz w:val="16"/>
                <w:szCs w:val="16"/>
              </w:rPr>
              <w:br/>
              <w:t>9. Выполнение пусконаладочных работ.</w:t>
            </w:r>
            <w:r w:rsidRPr="00BF4F2C">
              <w:rPr>
                <w:rFonts w:ascii="PT Astra Serif" w:eastAsia="Times New Roman" w:hAnsi="PT Astra Serif" w:cs="Arial"/>
                <w:color w:val="000000" w:themeColor="text1"/>
                <w:sz w:val="16"/>
                <w:szCs w:val="16"/>
              </w:rPr>
              <w:br/>
              <w:t>10. Выполнение мероприятий по ликвидации технологических ограничений использования земельного участка (вынос сетей из-под пятна застройки).</w:t>
            </w:r>
            <w:r w:rsidRPr="00BF4F2C">
              <w:rPr>
                <w:rFonts w:ascii="PT Astra Serif" w:eastAsia="Times New Roman" w:hAnsi="PT Astra Serif" w:cs="Arial"/>
                <w:color w:val="000000" w:themeColor="text1"/>
                <w:sz w:val="16"/>
                <w:szCs w:val="16"/>
              </w:rPr>
              <w:br/>
              <w:t>11. Проведение работ по установке/замене приборов учета газа. </w:t>
            </w:r>
            <w:r w:rsidRPr="00BF4F2C">
              <w:rPr>
                <w:rFonts w:ascii="PT Astra Serif" w:eastAsia="Times New Roman" w:hAnsi="PT Astra Serif" w:cs="Arial"/>
                <w:color w:val="000000" w:themeColor="text1"/>
                <w:sz w:val="16"/>
                <w:szCs w:val="16"/>
              </w:rPr>
              <w:br/>
              <w:t>12. Осуществление ремонтных работ внутридомового и (или) внутриквартирного газового оборудования по заявке.</w:t>
            </w:r>
            <w:r w:rsidRPr="00BF4F2C">
              <w:rPr>
                <w:rFonts w:ascii="PT Astra Serif" w:eastAsia="Times New Roman" w:hAnsi="PT Astra Serif" w:cs="Arial"/>
                <w:color w:val="000000" w:themeColor="text1"/>
                <w:sz w:val="16"/>
                <w:szCs w:val="16"/>
              </w:rPr>
              <w:br/>
              <w:t xml:space="preserve">13. Аварийно-диспетчерское обслуживание (обеспечение) газораспределительных систем и сетей </w:t>
            </w:r>
            <w:proofErr w:type="spellStart"/>
            <w:r w:rsidRPr="00BF4F2C">
              <w:rPr>
                <w:rFonts w:ascii="PT Astra Serif" w:eastAsia="Times New Roman" w:hAnsi="PT Astra Serif" w:cs="Arial"/>
                <w:color w:val="000000" w:themeColor="text1"/>
                <w:sz w:val="16"/>
                <w:szCs w:val="16"/>
              </w:rPr>
              <w:t>газопотребления</w:t>
            </w:r>
            <w:proofErr w:type="spellEnd"/>
            <w:r w:rsidRPr="00BF4F2C">
              <w:rPr>
                <w:rFonts w:ascii="PT Astra Serif" w:eastAsia="Times New Roman" w:hAnsi="PT Astra Serif" w:cs="Arial"/>
                <w:color w:val="000000" w:themeColor="text1"/>
                <w:sz w:val="16"/>
                <w:szCs w:val="16"/>
              </w:rPr>
              <w:t>, внутридомового и (или) внутриквартирного газового оборудования.)</w:t>
            </w:r>
            <w:r w:rsidRPr="00BF4F2C">
              <w:rPr>
                <w:rFonts w:ascii="PT Astra Serif" w:eastAsia="Times New Roman" w:hAnsi="PT Astra Serif" w:cs="Arial"/>
                <w:color w:val="000000" w:themeColor="text1"/>
                <w:sz w:val="16"/>
                <w:szCs w:val="16"/>
              </w:rPr>
              <w:br/>
            </w:r>
            <w:r w:rsidRPr="00BF4F2C">
              <w:rPr>
                <w:rFonts w:ascii="PT Astra Serif" w:eastAsia="Times New Roman" w:hAnsi="PT Astra Serif" w:cs="Arial"/>
                <w:color w:val="000000" w:themeColor="text1"/>
                <w:sz w:val="16"/>
                <w:szCs w:val="16"/>
              </w:rPr>
              <w:br/>
              <w:t>В кабинете службы «Единое окно» размещены специальные стенды с полезной для населения информацией: здесь жители могут ознакомиться с правилами безопасности при работе с газовым оборудованием, информацией о происшествиях. В этом же кабинете проводится инструктаж для населения по правилам безопасного пользования газом в быту.</w:t>
            </w:r>
          </w:p>
        </w:tc>
      </w:tr>
    </w:tbl>
    <w:p w:rsidR="002535C7" w:rsidRDefault="002535C7"/>
    <w:p w:rsidR="002535C7" w:rsidRDefault="002535C7"/>
    <w:sectPr w:rsidR="00253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13296"/>
    <w:multiLevelType w:val="multilevel"/>
    <w:tmpl w:val="DBE4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FE0903"/>
    <w:multiLevelType w:val="multilevel"/>
    <w:tmpl w:val="D792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2C"/>
    <w:rsid w:val="002535C7"/>
    <w:rsid w:val="008F095C"/>
    <w:rsid w:val="00A07C6B"/>
    <w:rsid w:val="00BF4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4F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4F2C"/>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BF4F2C"/>
    <w:rPr>
      <w:color w:val="0000FF"/>
      <w:u w:val="single"/>
    </w:rPr>
  </w:style>
  <w:style w:type="paragraph" w:styleId="a4">
    <w:name w:val="Normal (Web)"/>
    <w:basedOn w:val="a"/>
    <w:uiPriority w:val="99"/>
    <w:unhideWhenUsed/>
    <w:rsid w:val="00BF4F2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F4F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4F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4F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4F2C"/>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BF4F2C"/>
    <w:rPr>
      <w:color w:val="0000FF"/>
      <w:u w:val="single"/>
    </w:rPr>
  </w:style>
  <w:style w:type="paragraph" w:styleId="a4">
    <w:name w:val="Normal (Web)"/>
    <w:basedOn w:val="a"/>
    <w:uiPriority w:val="99"/>
    <w:unhideWhenUsed/>
    <w:rsid w:val="00BF4F2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F4F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4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482772">
      <w:bodyDiv w:val="1"/>
      <w:marLeft w:val="0"/>
      <w:marRight w:val="0"/>
      <w:marTop w:val="0"/>
      <w:marBottom w:val="0"/>
      <w:divBdr>
        <w:top w:val="none" w:sz="0" w:space="0" w:color="auto"/>
        <w:left w:val="none" w:sz="0" w:space="0" w:color="auto"/>
        <w:bottom w:val="none" w:sz="0" w:space="0" w:color="auto"/>
        <w:right w:val="none" w:sz="0" w:space="0" w:color="auto"/>
      </w:divBdr>
      <w:divsChild>
        <w:div w:id="1416247657">
          <w:marLeft w:val="0"/>
          <w:marRight w:val="0"/>
          <w:marTop w:val="0"/>
          <w:marBottom w:val="0"/>
          <w:divBdr>
            <w:top w:val="none" w:sz="0" w:space="0" w:color="auto"/>
            <w:left w:val="single" w:sz="36" w:space="13" w:color="CFDBFF"/>
            <w:bottom w:val="none" w:sz="0" w:space="0" w:color="auto"/>
            <w:right w:val="none" w:sz="0" w:space="0" w:color="auto"/>
          </w:divBdr>
        </w:div>
      </w:divsChild>
    </w:div>
    <w:div w:id="2045980975">
      <w:bodyDiv w:val="1"/>
      <w:marLeft w:val="0"/>
      <w:marRight w:val="0"/>
      <w:marTop w:val="0"/>
      <w:marBottom w:val="0"/>
      <w:divBdr>
        <w:top w:val="none" w:sz="0" w:space="0" w:color="auto"/>
        <w:left w:val="none" w:sz="0" w:space="0" w:color="auto"/>
        <w:bottom w:val="none" w:sz="0" w:space="0" w:color="auto"/>
        <w:right w:val="none" w:sz="0" w:space="0" w:color="auto"/>
      </w:divBdr>
      <w:divsChild>
        <w:div w:id="849681703">
          <w:marLeft w:val="0"/>
          <w:marRight w:val="0"/>
          <w:marTop w:val="0"/>
          <w:marBottom w:val="0"/>
          <w:divBdr>
            <w:top w:val="none" w:sz="0" w:space="0" w:color="auto"/>
            <w:left w:val="single" w:sz="36" w:space="13" w:color="CFDBFF"/>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Veronika</cp:lastModifiedBy>
  <cp:revision>2</cp:revision>
  <cp:lastPrinted>2022-06-29T09:55:00Z</cp:lastPrinted>
  <dcterms:created xsi:type="dcterms:W3CDTF">2022-07-06T11:26:00Z</dcterms:created>
  <dcterms:modified xsi:type="dcterms:W3CDTF">2022-07-06T11:26:00Z</dcterms:modified>
</cp:coreProperties>
</file>